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B70DE" w:rsidRDefault="000B70DE">
      <w:pPr>
        <w:jc w:val="center"/>
        <w:rPr>
          <w:rFonts w:ascii="Arial" w:eastAsia="Arial" w:hAnsi="Arial" w:cs="Arial"/>
          <w:sz w:val="32"/>
          <w:szCs w:val="32"/>
        </w:rPr>
      </w:pPr>
    </w:p>
    <w:p w:rsidR="002A4551" w:rsidRDefault="00006989">
      <w:pPr>
        <w:jc w:val="center"/>
        <w:rPr>
          <w:rFonts w:ascii="Arial" w:eastAsia="Arial" w:hAnsi="Arial" w:cs="Arial"/>
          <w:sz w:val="32"/>
          <w:szCs w:val="32"/>
        </w:rPr>
      </w:pPr>
      <w:r>
        <w:rPr>
          <w:rFonts w:ascii="Arial" w:eastAsia="Arial" w:hAnsi="Arial" w:cs="Arial"/>
          <w:sz w:val="32"/>
          <w:szCs w:val="32"/>
        </w:rPr>
        <w:t>Carnet de défis</w:t>
      </w:r>
    </w:p>
    <w:p w:rsidR="002A4551" w:rsidRDefault="00CA62AD">
      <w:pPr>
        <w:rPr>
          <w:rFonts w:ascii="Arial" w:eastAsia="Arial" w:hAnsi="Arial" w:cs="Arial"/>
          <w:b/>
        </w:rPr>
      </w:pPr>
      <w:r>
        <w:rPr>
          <w:rFonts w:ascii="Arial" w:eastAsia="Arial" w:hAnsi="Arial" w:cs="Arial"/>
          <w:b/>
        </w:rPr>
        <w:t>Procédure</w:t>
      </w:r>
      <w:r w:rsidR="00006989">
        <w:rPr>
          <w:rFonts w:ascii="Arial" w:eastAsia="Arial" w:hAnsi="Arial" w:cs="Arial"/>
          <w:b/>
        </w:rPr>
        <w:t xml:space="preserve"> : </w:t>
      </w:r>
    </w:p>
    <w:p w:rsidR="002A4551" w:rsidRDefault="00006989">
      <w:pPr>
        <w:jc w:val="both"/>
        <w:rPr>
          <w:rFonts w:ascii="Arial" w:eastAsia="Arial" w:hAnsi="Arial" w:cs="Arial"/>
        </w:rPr>
      </w:pPr>
      <w:r>
        <w:rPr>
          <w:rFonts w:ascii="Arial" w:eastAsia="Arial" w:hAnsi="Arial" w:cs="Arial"/>
        </w:rPr>
        <w:t xml:space="preserve">L’orthopédagogue note certaines tâches prévues en rééducation et un défi </w:t>
      </w:r>
      <w:r w:rsidR="00FA46BD">
        <w:rPr>
          <w:rFonts w:ascii="Arial" w:eastAsia="Arial" w:hAnsi="Arial" w:cs="Arial"/>
        </w:rPr>
        <w:t xml:space="preserve">qu’il ou elle lance à l’élève. </w:t>
      </w:r>
      <w:r>
        <w:rPr>
          <w:rFonts w:ascii="Arial" w:eastAsia="Arial" w:hAnsi="Arial" w:cs="Arial"/>
        </w:rPr>
        <w:t xml:space="preserve">Il ou elle en informe ensuite l’élève avant le </w:t>
      </w:r>
      <w:r w:rsidR="00FA46BD">
        <w:rPr>
          <w:rFonts w:ascii="Arial" w:eastAsia="Arial" w:hAnsi="Arial" w:cs="Arial"/>
        </w:rPr>
        <w:t xml:space="preserve">début de la tâche. </w:t>
      </w:r>
      <w:r>
        <w:rPr>
          <w:rFonts w:ascii="Arial" w:eastAsia="Arial" w:hAnsi="Arial" w:cs="Arial"/>
        </w:rPr>
        <w:t>Quand la tâche est terminée, l’orthopédagogue peut rencontre</w:t>
      </w:r>
      <w:r w:rsidR="00C82643">
        <w:rPr>
          <w:rFonts w:ascii="Arial" w:eastAsia="Arial" w:hAnsi="Arial" w:cs="Arial"/>
        </w:rPr>
        <w:t>r brièvement l</w:t>
      </w:r>
      <w:r>
        <w:rPr>
          <w:rFonts w:ascii="Arial" w:eastAsia="Arial" w:hAnsi="Arial" w:cs="Arial"/>
        </w:rPr>
        <w:t>’élève pour discuter du défi et donner une rétroaction écrite. Le fait de noter les défis et les rétroactions au même endroit permet de comparer la performance de l’élève d’une tâche à l’autre.</w:t>
      </w:r>
    </w:p>
    <w:p w:rsidR="002A4551" w:rsidRDefault="002A4551"/>
    <w:p w:rsidR="002A4551" w:rsidRDefault="00006989">
      <w:pPr>
        <w:rPr>
          <w:rFonts w:ascii="Arial" w:eastAsia="Arial" w:hAnsi="Arial" w:cs="Arial"/>
        </w:rPr>
      </w:pPr>
      <w:r>
        <w:rPr>
          <w:rFonts w:ascii="Arial" w:eastAsia="Arial" w:hAnsi="Arial" w:cs="Arial"/>
        </w:rPr>
        <w:t>Nom de l’élève : _____________________________________</w:t>
      </w:r>
    </w:p>
    <w:tbl>
      <w:tblPr>
        <w:tblStyle w:val="a"/>
        <w:tblW w:w="8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2291"/>
        <w:gridCol w:w="2729"/>
        <w:gridCol w:w="2574"/>
      </w:tblGrid>
      <w:tr w:rsidR="002A4551">
        <w:tc>
          <w:tcPr>
            <w:tcW w:w="1036" w:type="dxa"/>
            <w:shd w:val="clear" w:color="auto" w:fill="CCCCCC"/>
          </w:tcPr>
          <w:p w:rsidR="002A4551" w:rsidRDefault="00006989">
            <w:pPr>
              <w:jc w:val="center"/>
              <w:rPr>
                <w:rFonts w:ascii="Arial" w:eastAsia="Arial" w:hAnsi="Arial" w:cs="Arial"/>
              </w:rPr>
            </w:pPr>
            <w:r>
              <w:rPr>
                <w:rFonts w:ascii="Arial" w:eastAsia="Arial" w:hAnsi="Arial" w:cs="Arial"/>
              </w:rPr>
              <w:t>Dates</w:t>
            </w:r>
          </w:p>
        </w:tc>
        <w:tc>
          <w:tcPr>
            <w:tcW w:w="2291" w:type="dxa"/>
            <w:shd w:val="clear" w:color="auto" w:fill="CCCCCC"/>
          </w:tcPr>
          <w:p w:rsidR="002A4551" w:rsidRDefault="00006989">
            <w:pPr>
              <w:jc w:val="center"/>
              <w:rPr>
                <w:rFonts w:ascii="Arial" w:eastAsia="Arial" w:hAnsi="Arial" w:cs="Arial"/>
              </w:rPr>
            </w:pPr>
            <w:r>
              <w:rPr>
                <w:rFonts w:ascii="Arial" w:eastAsia="Arial" w:hAnsi="Arial" w:cs="Arial"/>
              </w:rPr>
              <w:t>Tâches</w:t>
            </w:r>
          </w:p>
        </w:tc>
        <w:tc>
          <w:tcPr>
            <w:tcW w:w="2729" w:type="dxa"/>
            <w:shd w:val="clear" w:color="auto" w:fill="CCCCCC"/>
          </w:tcPr>
          <w:p w:rsidR="002A4551" w:rsidRDefault="00006989">
            <w:pPr>
              <w:jc w:val="center"/>
              <w:rPr>
                <w:rFonts w:ascii="Arial" w:eastAsia="Arial" w:hAnsi="Arial" w:cs="Arial"/>
              </w:rPr>
            </w:pPr>
            <w:r>
              <w:rPr>
                <w:rFonts w:ascii="Arial" w:eastAsia="Arial" w:hAnsi="Arial" w:cs="Arial"/>
              </w:rPr>
              <w:t>Défis lancés à l’élève</w:t>
            </w:r>
          </w:p>
          <w:p w:rsidR="002A4551" w:rsidRDefault="00006989">
            <w:pPr>
              <w:jc w:val="center"/>
              <w:rPr>
                <w:rFonts w:ascii="Arial" w:eastAsia="Arial" w:hAnsi="Arial" w:cs="Arial"/>
              </w:rPr>
            </w:pPr>
            <w:r>
              <w:rPr>
                <w:rFonts w:ascii="Arial" w:eastAsia="Arial" w:hAnsi="Arial" w:cs="Arial"/>
                <w:sz w:val="20"/>
                <w:szCs w:val="20"/>
              </w:rPr>
              <w:t>(</w:t>
            </w:r>
            <w:r w:rsidR="00CA62AD">
              <w:rPr>
                <w:rFonts w:ascii="Arial" w:eastAsia="Arial" w:hAnsi="Arial" w:cs="Arial"/>
                <w:sz w:val="14"/>
                <w:szCs w:val="14"/>
              </w:rPr>
              <w:t>S</w:t>
            </w:r>
            <w:r>
              <w:rPr>
                <w:rFonts w:ascii="Arial" w:eastAsia="Arial" w:hAnsi="Arial" w:cs="Arial"/>
                <w:sz w:val="14"/>
                <w:szCs w:val="14"/>
              </w:rPr>
              <w:t>ur une cible de rééducation préalablement enseignée explicitement</w:t>
            </w:r>
            <w:r>
              <w:rPr>
                <w:rFonts w:ascii="Arial" w:eastAsia="Arial" w:hAnsi="Arial" w:cs="Arial"/>
                <w:sz w:val="20"/>
                <w:szCs w:val="20"/>
              </w:rPr>
              <w:t>)</w:t>
            </w:r>
          </w:p>
        </w:tc>
        <w:tc>
          <w:tcPr>
            <w:tcW w:w="2574" w:type="dxa"/>
            <w:shd w:val="clear" w:color="auto" w:fill="CCCCCC"/>
          </w:tcPr>
          <w:p w:rsidR="002A4551" w:rsidRDefault="00006989">
            <w:pPr>
              <w:jc w:val="center"/>
              <w:rPr>
                <w:rFonts w:ascii="Arial" w:eastAsia="Arial" w:hAnsi="Arial" w:cs="Arial"/>
              </w:rPr>
            </w:pPr>
            <w:r>
              <w:rPr>
                <w:rFonts w:ascii="Arial" w:eastAsia="Arial" w:hAnsi="Arial" w:cs="Arial"/>
              </w:rPr>
              <w:t>Rétroaction</w:t>
            </w:r>
            <w:r w:rsidR="00FA46BD">
              <w:rPr>
                <w:rFonts w:ascii="Arial" w:eastAsia="Arial" w:hAnsi="Arial" w:cs="Arial"/>
              </w:rPr>
              <w:t>s</w:t>
            </w:r>
            <w:bookmarkStart w:id="0" w:name="_GoBack"/>
            <w:bookmarkEnd w:id="0"/>
          </w:p>
        </w:tc>
      </w:tr>
      <w:tr w:rsidR="002A4551">
        <w:tc>
          <w:tcPr>
            <w:tcW w:w="1036" w:type="dxa"/>
          </w:tcPr>
          <w:p w:rsidR="002A4551" w:rsidRDefault="00006989">
            <w:pPr>
              <w:rPr>
                <w:rFonts w:ascii="Arial" w:eastAsia="Arial" w:hAnsi="Arial" w:cs="Arial"/>
                <w:color w:val="2E75B5"/>
                <w:sz w:val="16"/>
                <w:szCs w:val="16"/>
              </w:rPr>
            </w:pPr>
            <w:r>
              <w:rPr>
                <w:rFonts w:ascii="Arial" w:eastAsia="Arial" w:hAnsi="Arial" w:cs="Arial"/>
                <w:color w:val="2E75B5"/>
                <w:sz w:val="16"/>
                <w:szCs w:val="16"/>
              </w:rPr>
              <w:t>Exemple :</w:t>
            </w:r>
          </w:p>
          <w:p w:rsidR="002A4551" w:rsidRDefault="00006989">
            <w:pPr>
              <w:rPr>
                <w:rFonts w:ascii="Arial" w:eastAsia="Arial" w:hAnsi="Arial" w:cs="Arial"/>
                <w:color w:val="2E75B5"/>
                <w:sz w:val="20"/>
                <w:szCs w:val="20"/>
              </w:rPr>
            </w:pPr>
            <w:r>
              <w:rPr>
                <w:rFonts w:ascii="Arial" w:eastAsia="Arial" w:hAnsi="Arial" w:cs="Arial"/>
                <w:color w:val="2E75B5"/>
                <w:sz w:val="20"/>
                <w:szCs w:val="20"/>
              </w:rPr>
              <w:t>15 mars</w:t>
            </w:r>
          </w:p>
        </w:tc>
        <w:tc>
          <w:tcPr>
            <w:tcW w:w="2291" w:type="dxa"/>
          </w:tcPr>
          <w:p w:rsidR="002A4551" w:rsidRDefault="00006989">
            <w:pPr>
              <w:rPr>
                <w:rFonts w:ascii="Arial" w:eastAsia="Arial" w:hAnsi="Arial" w:cs="Arial"/>
                <w:color w:val="2E75B5"/>
                <w:sz w:val="20"/>
                <w:szCs w:val="20"/>
              </w:rPr>
            </w:pPr>
            <w:r>
              <w:rPr>
                <w:rFonts w:ascii="Arial" w:eastAsia="Arial" w:hAnsi="Arial" w:cs="Arial"/>
                <w:color w:val="2E75B5"/>
                <w:sz w:val="20"/>
                <w:szCs w:val="20"/>
              </w:rPr>
              <w:t>Lecture de phrases sur les animaux</w:t>
            </w:r>
          </w:p>
        </w:tc>
        <w:tc>
          <w:tcPr>
            <w:tcW w:w="2729" w:type="dxa"/>
          </w:tcPr>
          <w:p w:rsidR="002A4551" w:rsidRDefault="00006989">
            <w:pPr>
              <w:rPr>
                <w:rFonts w:ascii="Arial" w:eastAsia="Arial" w:hAnsi="Arial" w:cs="Arial"/>
                <w:color w:val="2E75B5"/>
                <w:sz w:val="20"/>
                <w:szCs w:val="20"/>
              </w:rPr>
            </w:pPr>
            <w:r>
              <w:rPr>
                <w:rFonts w:ascii="Arial" w:eastAsia="Arial" w:hAnsi="Arial" w:cs="Arial"/>
                <w:color w:val="2E75B5"/>
                <w:sz w:val="20"/>
                <w:szCs w:val="20"/>
              </w:rPr>
              <w:t>Couper les mots difficiles en syllabes.</w:t>
            </w:r>
          </w:p>
        </w:tc>
        <w:tc>
          <w:tcPr>
            <w:tcW w:w="2574" w:type="dxa"/>
          </w:tcPr>
          <w:p w:rsidR="002A4551" w:rsidRDefault="00FA46BD">
            <w:pPr>
              <w:rPr>
                <w:rFonts w:ascii="Arial" w:eastAsia="Arial" w:hAnsi="Arial" w:cs="Arial"/>
                <w:color w:val="2E75B5"/>
                <w:sz w:val="20"/>
                <w:szCs w:val="20"/>
              </w:rPr>
            </w:pPr>
            <w:r>
              <w:rPr>
                <w:rFonts w:ascii="Arial" w:eastAsia="Arial" w:hAnsi="Arial" w:cs="Arial"/>
                <w:color w:val="2E75B5"/>
                <w:sz w:val="20"/>
                <w:szCs w:val="20"/>
              </w:rPr>
              <w:t xml:space="preserve">Bravo! </w:t>
            </w:r>
            <w:r w:rsidR="00006989">
              <w:rPr>
                <w:rFonts w:ascii="Arial" w:eastAsia="Arial" w:hAnsi="Arial" w:cs="Arial"/>
                <w:color w:val="2E75B5"/>
                <w:sz w:val="20"/>
                <w:szCs w:val="20"/>
              </w:rPr>
              <w:t xml:space="preserve">Tu as utilisé la </w:t>
            </w:r>
            <w:r>
              <w:rPr>
                <w:rFonts w:ascii="Arial" w:eastAsia="Arial" w:hAnsi="Arial" w:cs="Arial"/>
                <w:color w:val="2E75B5"/>
                <w:sz w:val="20"/>
                <w:szCs w:val="20"/>
              </w:rPr>
              <w:t xml:space="preserve">stratégie à quelques reprises. </w:t>
            </w:r>
            <w:r w:rsidR="00006989">
              <w:rPr>
                <w:rFonts w:ascii="Arial" w:eastAsia="Arial" w:hAnsi="Arial" w:cs="Arial"/>
                <w:color w:val="2E75B5"/>
                <w:sz w:val="20"/>
                <w:szCs w:val="20"/>
              </w:rPr>
              <w:t>Je t’invite à t’en servir plus souvent.</w:t>
            </w:r>
          </w:p>
        </w:tc>
      </w:tr>
      <w:tr w:rsidR="002A4551">
        <w:tc>
          <w:tcPr>
            <w:tcW w:w="1036" w:type="dxa"/>
          </w:tcPr>
          <w:p w:rsidR="002A4551" w:rsidRDefault="00006989">
            <w:pPr>
              <w:rPr>
                <w:rFonts w:ascii="Arial" w:eastAsia="Arial" w:hAnsi="Arial" w:cs="Arial"/>
                <w:color w:val="2E75B5"/>
                <w:sz w:val="20"/>
                <w:szCs w:val="20"/>
              </w:rPr>
            </w:pPr>
            <w:r>
              <w:rPr>
                <w:rFonts w:ascii="Arial" w:eastAsia="Arial" w:hAnsi="Arial" w:cs="Arial"/>
                <w:color w:val="2E75B5"/>
                <w:sz w:val="20"/>
                <w:szCs w:val="20"/>
              </w:rPr>
              <w:t>17 mars</w:t>
            </w:r>
          </w:p>
        </w:tc>
        <w:tc>
          <w:tcPr>
            <w:tcW w:w="2291" w:type="dxa"/>
          </w:tcPr>
          <w:p w:rsidR="002A4551" w:rsidRDefault="00006989">
            <w:pPr>
              <w:rPr>
                <w:rFonts w:ascii="Arial" w:eastAsia="Arial" w:hAnsi="Arial" w:cs="Arial"/>
                <w:color w:val="2E75B5"/>
                <w:sz w:val="20"/>
                <w:szCs w:val="20"/>
              </w:rPr>
            </w:pPr>
            <w:r>
              <w:rPr>
                <w:rFonts w:ascii="Arial" w:eastAsia="Arial" w:hAnsi="Arial" w:cs="Arial"/>
                <w:color w:val="2E75B5"/>
                <w:sz w:val="20"/>
                <w:szCs w:val="20"/>
              </w:rPr>
              <w:t>Lecture de l’album « Les bottes de Lola »</w:t>
            </w:r>
          </w:p>
        </w:tc>
        <w:tc>
          <w:tcPr>
            <w:tcW w:w="2729" w:type="dxa"/>
          </w:tcPr>
          <w:p w:rsidR="002A4551" w:rsidRDefault="00006989">
            <w:pPr>
              <w:rPr>
                <w:rFonts w:ascii="Arial" w:eastAsia="Arial" w:hAnsi="Arial" w:cs="Arial"/>
                <w:color w:val="2E75B5"/>
                <w:sz w:val="20"/>
                <w:szCs w:val="20"/>
              </w:rPr>
            </w:pPr>
            <w:r>
              <w:rPr>
                <w:rFonts w:ascii="Arial" w:eastAsia="Arial" w:hAnsi="Arial" w:cs="Arial"/>
                <w:color w:val="2E75B5"/>
                <w:sz w:val="20"/>
                <w:szCs w:val="20"/>
              </w:rPr>
              <w:t>Couper les mots difficiles en syllabes</w:t>
            </w:r>
            <w:r w:rsidR="008E3B73">
              <w:rPr>
                <w:rFonts w:ascii="Arial" w:eastAsia="Arial" w:hAnsi="Arial" w:cs="Arial"/>
                <w:color w:val="2E75B5"/>
                <w:sz w:val="20"/>
                <w:szCs w:val="20"/>
              </w:rPr>
              <w:t>.</w:t>
            </w:r>
          </w:p>
        </w:tc>
        <w:tc>
          <w:tcPr>
            <w:tcW w:w="2574" w:type="dxa"/>
          </w:tcPr>
          <w:p w:rsidR="002A4551" w:rsidRDefault="00FA46BD">
            <w:pPr>
              <w:rPr>
                <w:rFonts w:ascii="Arial" w:eastAsia="Arial" w:hAnsi="Arial" w:cs="Arial"/>
                <w:color w:val="2E75B5"/>
                <w:sz w:val="20"/>
                <w:szCs w:val="20"/>
              </w:rPr>
            </w:pPr>
            <w:r>
              <w:rPr>
                <w:rFonts w:ascii="Arial" w:eastAsia="Arial" w:hAnsi="Arial" w:cs="Arial"/>
                <w:color w:val="2E75B5"/>
                <w:sz w:val="20"/>
                <w:szCs w:val="20"/>
              </w:rPr>
              <w:t xml:space="preserve">Super! </w:t>
            </w:r>
            <w:r w:rsidR="00006989">
              <w:rPr>
                <w:rFonts w:ascii="Arial" w:eastAsia="Arial" w:hAnsi="Arial" w:cs="Arial"/>
                <w:color w:val="2E75B5"/>
                <w:sz w:val="20"/>
                <w:szCs w:val="20"/>
              </w:rPr>
              <w:t>Je vois que tu as coupé plus de mots difficiles cette fois, comparativement aux phrases sur les animaux.</w:t>
            </w:r>
          </w:p>
        </w:tc>
      </w:tr>
      <w:tr w:rsidR="002A4551">
        <w:tc>
          <w:tcPr>
            <w:tcW w:w="1036" w:type="dxa"/>
          </w:tcPr>
          <w:p w:rsidR="002A4551" w:rsidRDefault="002A4551">
            <w:pPr>
              <w:rPr>
                <w:rFonts w:ascii="Arial" w:eastAsia="Arial" w:hAnsi="Arial" w:cs="Arial"/>
              </w:rPr>
            </w:pPr>
          </w:p>
          <w:p w:rsidR="002A4551" w:rsidRDefault="002A4551">
            <w:pPr>
              <w:rPr>
                <w:rFonts w:ascii="Arial" w:eastAsia="Arial" w:hAnsi="Arial" w:cs="Arial"/>
              </w:rPr>
            </w:pPr>
          </w:p>
          <w:p w:rsidR="002A4551" w:rsidRDefault="002A4551">
            <w:pPr>
              <w:rPr>
                <w:rFonts w:ascii="Arial" w:eastAsia="Arial" w:hAnsi="Arial" w:cs="Arial"/>
              </w:rPr>
            </w:pPr>
          </w:p>
        </w:tc>
        <w:tc>
          <w:tcPr>
            <w:tcW w:w="2291" w:type="dxa"/>
          </w:tcPr>
          <w:p w:rsidR="002A4551" w:rsidRDefault="002A4551">
            <w:pPr>
              <w:rPr>
                <w:rFonts w:ascii="Arial" w:eastAsia="Arial" w:hAnsi="Arial" w:cs="Arial"/>
              </w:rPr>
            </w:pPr>
          </w:p>
        </w:tc>
        <w:tc>
          <w:tcPr>
            <w:tcW w:w="2729" w:type="dxa"/>
          </w:tcPr>
          <w:p w:rsidR="002A4551" w:rsidRDefault="002A4551">
            <w:pPr>
              <w:rPr>
                <w:rFonts w:ascii="Arial" w:eastAsia="Arial" w:hAnsi="Arial" w:cs="Arial"/>
              </w:rPr>
            </w:pPr>
          </w:p>
        </w:tc>
        <w:tc>
          <w:tcPr>
            <w:tcW w:w="2574" w:type="dxa"/>
          </w:tcPr>
          <w:p w:rsidR="002A4551" w:rsidRDefault="002A4551">
            <w:pPr>
              <w:rPr>
                <w:rFonts w:ascii="Arial" w:eastAsia="Arial" w:hAnsi="Arial" w:cs="Arial"/>
              </w:rPr>
            </w:pPr>
          </w:p>
        </w:tc>
      </w:tr>
      <w:tr w:rsidR="002A4551">
        <w:tc>
          <w:tcPr>
            <w:tcW w:w="1036" w:type="dxa"/>
          </w:tcPr>
          <w:p w:rsidR="002A4551" w:rsidRDefault="002A4551">
            <w:pPr>
              <w:rPr>
                <w:rFonts w:ascii="Arial" w:eastAsia="Arial" w:hAnsi="Arial" w:cs="Arial"/>
              </w:rPr>
            </w:pPr>
          </w:p>
          <w:p w:rsidR="002A4551" w:rsidRDefault="002A4551">
            <w:pPr>
              <w:rPr>
                <w:rFonts w:ascii="Arial" w:eastAsia="Arial" w:hAnsi="Arial" w:cs="Arial"/>
              </w:rPr>
            </w:pPr>
          </w:p>
          <w:p w:rsidR="002A4551" w:rsidRDefault="002A4551">
            <w:pPr>
              <w:rPr>
                <w:rFonts w:ascii="Arial" w:eastAsia="Arial" w:hAnsi="Arial" w:cs="Arial"/>
              </w:rPr>
            </w:pPr>
          </w:p>
        </w:tc>
        <w:tc>
          <w:tcPr>
            <w:tcW w:w="2291" w:type="dxa"/>
          </w:tcPr>
          <w:p w:rsidR="002A4551" w:rsidRDefault="002A4551">
            <w:pPr>
              <w:rPr>
                <w:rFonts w:ascii="Arial" w:eastAsia="Arial" w:hAnsi="Arial" w:cs="Arial"/>
              </w:rPr>
            </w:pPr>
          </w:p>
        </w:tc>
        <w:tc>
          <w:tcPr>
            <w:tcW w:w="2729" w:type="dxa"/>
          </w:tcPr>
          <w:p w:rsidR="002A4551" w:rsidRDefault="002A4551">
            <w:pPr>
              <w:rPr>
                <w:rFonts w:ascii="Arial" w:eastAsia="Arial" w:hAnsi="Arial" w:cs="Arial"/>
              </w:rPr>
            </w:pPr>
          </w:p>
        </w:tc>
        <w:tc>
          <w:tcPr>
            <w:tcW w:w="2574" w:type="dxa"/>
          </w:tcPr>
          <w:p w:rsidR="002A4551" w:rsidRDefault="002A4551">
            <w:pPr>
              <w:rPr>
                <w:rFonts w:ascii="Arial" w:eastAsia="Arial" w:hAnsi="Arial" w:cs="Arial"/>
              </w:rPr>
            </w:pPr>
          </w:p>
        </w:tc>
      </w:tr>
      <w:tr w:rsidR="002A4551">
        <w:tc>
          <w:tcPr>
            <w:tcW w:w="1036" w:type="dxa"/>
          </w:tcPr>
          <w:p w:rsidR="002A4551" w:rsidRDefault="002A4551">
            <w:pPr>
              <w:rPr>
                <w:rFonts w:ascii="Arial" w:eastAsia="Arial" w:hAnsi="Arial" w:cs="Arial"/>
              </w:rPr>
            </w:pPr>
          </w:p>
          <w:p w:rsidR="002A4551" w:rsidRDefault="002A4551">
            <w:pPr>
              <w:rPr>
                <w:rFonts w:ascii="Arial" w:eastAsia="Arial" w:hAnsi="Arial" w:cs="Arial"/>
              </w:rPr>
            </w:pPr>
          </w:p>
          <w:p w:rsidR="002A4551" w:rsidRDefault="002A4551">
            <w:pPr>
              <w:rPr>
                <w:rFonts w:ascii="Arial" w:eastAsia="Arial" w:hAnsi="Arial" w:cs="Arial"/>
              </w:rPr>
            </w:pPr>
          </w:p>
        </w:tc>
        <w:tc>
          <w:tcPr>
            <w:tcW w:w="2291" w:type="dxa"/>
          </w:tcPr>
          <w:p w:rsidR="002A4551" w:rsidRDefault="002A4551">
            <w:pPr>
              <w:rPr>
                <w:rFonts w:ascii="Arial" w:eastAsia="Arial" w:hAnsi="Arial" w:cs="Arial"/>
              </w:rPr>
            </w:pPr>
          </w:p>
        </w:tc>
        <w:tc>
          <w:tcPr>
            <w:tcW w:w="2729" w:type="dxa"/>
          </w:tcPr>
          <w:p w:rsidR="002A4551" w:rsidRDefault="002A4551">
            <w:pPr>
              <w:rPr>
                <w:rFonts w:ascii="Arial" w:eastAsia="Arial" w:hAnsi="Arial" w:cs="Arial"/>
              </w:rPr>
            </w:pPr>
          </w:p>
        </w:tc>
        <w:tc>
          <w:tcPr>
            <w:tcW w:w="2574" w:type="dxa"/>
          </w:tcPr>
          <w:p w:rsidR="002A4551" w:rsidRDefault="002A4551">
            <w:pPr>
              <w:rPr>
                <w:rFonts w:ascii="Arial" w:eastAsia="Arial" w:hAnsi="Arial" w:cs="Arial"/>
              </w:rPr>
            </w:pPr>
          </w:p>
        </w:tc>
      </w:tr>
      <w:tr w:rsidR="002A4551">
        <w:tc>
          <w:tcPr>
            <w:tcW w:w="1036" w:type="dxa"/>
          </w:tcPr>
          <w:p w:rsidR="002A4551" w:rsidRDefault="002A4551">
            <w:pPr>
              <w:rPr>
                <w:rFonts w:ascii="Arial" w:eastAsia="Arial" w:hAnsi="Arial" w:cs="Arial"/>
              </w:rPr>
            </w:pPr>
          </w:p>
          <w:p w:rsidR="002A4551" w:rsidRDefault="002A4551">
            <w:pPr>
              <w:rPr>
                <w:rFonts w:ascii="Arial" w:eastAsia="Arial" w:hAnsi="Arial" w:cs="Arial"/>
              </w:rPr>
            </w:pPr>
          </w:p>
          <w:p w:rsidR="002A4551" w:rsidRDefault="002A4551">
            <w:pPr>
              <w:rPr>
                <w:rFonts w:ascii="Arial" w:eastAsia="Arial" w:hAnsi="Arial" w:cs="Arial"/>
              </w:rPr>
            </w:pPr>
            <w:bookmarkStart w:id="1" w:name="_gjdgxs" w:colFirst="0" w:colLast="0"/>
            <w:bookmarkEnd w:id="1"/>
          </w:p>
        </w:tc>
        <w:tc>
          <w:tcPr>
            <w:tcW w:w="2291" w:type="dxa"/>
          </w:tcPr>
          <w:p w:rsidR="002A4551" w:rsidRDefault="002A4551">
            <w:pPr>
              <w:rPr>
                <w:rFonts w:ascii="Arial" w:eastAsia="Arial" w:hAnsi="Arial" w:cs="Arial"/>
              </w:rPr>
            </w:pPr>
          </w:p>
        </w:tc>
        <w:tc>
          <w:tcPr>
            <w:tcW w:w="2729" w:type="dxa"/>
          </w:tcPr>
          <w:p w:rsidR="002A4551" w:rsidRDefault="002A4551">
            <w:pPr>
              <w:rPr>
                <w:rFonts w:ascii="Arial" w:eastAsia="Arial" w:hAnsi="Arial" w:cs="Arial"/>
              </w:rPr>
            </w:pPr>
          </w:p>
        </w:tc>
        <w:tc>
          <w:tcPr>
            <w:tcW w:w="2574" w:type="dxa"/>
          </w:tcPr>
          <w:p w:rsidR="002A4551" w:rsidRDefault="002A4551">
            <w:pPr>
              <w:rPr>
                <w:rFonts w:ascii="Arial" w:eastAsia="Arial" w:hAnsi="Arial" w:cs="Arial"/>
              </w:rPr>
            </w:pPr>
          </w:p>
        </w:tc>
      </w:tr>
    </w:tbl>
    <w:p w:rsidR="002A4551" w:rsidRDefault="002A4551"/>
    <w:sectPr w:rsidR="002A4551">
      <w:headerReference w:type="default" r:id="rId6"/>
      <w:footerReference w:type="default" r:id="rId7"/>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104" w:rsidRDefault="003F3104">
      <w:pPr>
        <w:spacing w:after="0" w:line="240" w:lineRule="auto"/>
      </w:pPr>
      <w:r>
        <w:separator/>
      </w:r>
    </w:p>
  </w:endnote>
  <w:endnote w:type="continuationSeparator" w:id="0">
    <w:p w:rsidR="003F3104" w:rsidRDefault="003F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551" w:rsidRDefault="00006989">
    <w:pPr>
      <w:rPr>
        <w:sz w:val="16"/>
        <w:szCs w:val="16"/>
      </w:rPr>
    </w:pPr>
    <w:r>
      <w:rPr>
        <w:noProof/>
        <w:sz w:val="16"/>
        <w:szCs w:val="16"/>
      </w:rPr>
      <w:drawing>
        <wp:inline distT="114300" distB="114300" distL="114300" distR="114300">
          <wp:extent cx="747713" cy="263399"/>
          <wp:effectExtent l="0" t="0" r="0" b="0"/>
          <wp:docPr id="1" name="image2.png" descr="Licence Creative Commons"/>
          <wp:cNvGraphicFramePr/>
          <a:graphic xmlns:a="http://schemas.openxmlformats.org/drawingml/2006/main">
            <a:graphicData uri="http://schemas.openxmlformats.org/drawingml/2006/picture">
              <pic:pic xmlns:pic="http://schemas.openxmlformats.org/drawingml/2006/picture">
                <pic:nvPicPr>
                  <pic:cNvPr id="0" name="image2.png" descr="Licence Creative Commons"/>
                  <pic:cNvPicPr preferRelativeResize="0"/>
                </pic:nvPicPr>
                <pic:blipFill>
                  <a:blip r:embed="rId1"/>
                  <a:srcRect/>
                  <a:stretch>
                    <a:fillRect/>
                  </a:stretch>
                </pic:blipFill>
                <pic:spPr>
                  <a:xfrm>
                    <a:off x="0" y="0"/>
                    <a:ext cx="747713" cy="263399"/>
                  </a:xfrm>
                  <a:prstGeom prst="rect">
                    <a:avLst/>
                  </a:prstGeom>
                  <a:ln/>
                </pic:spPr>
              </pic:pic>
            </a:graphicData>
          </a:graphic>
        </wp:inline>
      </w:drawing>
    </w:r>
    <w:r>
      <w:rPr>
        <w:sz w:val="16"/>
        <w:szCs w:val="16"/>
      </w:rPr>
      <w:t xml:space="preserve"> </w:t>
    </w:r>
    <w:r>
      <w:rPr>
        <w:rFonts w:ascii="Arial" w:eastAsia="Arial" w:hAnsi="Arial" w:cs="Arial"/>
        <w:color w:val="464646"/>
        <w:sz w:val="16"/>
        <w:szCs w:val="16"/>
        <w:highlight w:val="white"/>
      </w:rPr>
      <w:t xml:space="preserve">Carnet de défis de ROLÉ est mis à disposition selon les termes de la </w:t>
    </w:r>
    <w:hyperlink r:id="rId2">
      <w:r>
        <w:rPr>
          <w:rFonts w:ascii="Arial" w:eastAsia="Arial" w:hAnsi="Arial" w:cs="Arial"/>
          <w:color w:val="049CCF"/>
          <w:sz w:val="16"/>
          <w:szCs w:val="16"/>
          <w:highlight w:val="white"/>
          <w:u w:val="single"/>
        </w:rPr>
        <w:t xml:space="preserve">licence </w:t>
      </w:r>
      <w:proofErr w:type="spellStart"/>
      <w:r>
        <w:rPr>
          <w:rFonts w:ascii="Arial" w:eastAsia="Arial" w:hAnsi="Arial" w:cs="Arial"/>
          <w:color w:val="049CCF"/>
          <w:sz w:val="16"/>
          <w:szCs w:val="16"/>
          <w:highlight w:val="white"/>
          <w:u w:val="single"/>
        </w:rPr>
        <w:t>Creative</w:t>
      </w:r>
      <w:proofErr w:type="spellEnd"/>
      <w:r>
        <w:rPr>
          <w:rFonts w:ascii="Arial" w:eastAsia="Arial" w:hAnsi="Arial" w:cs="Arial"/>
          <w:color w:val="049CCF"/>
          <w:sz w:val="16"/>
          <w:szCs w:val="16"/>
          <w:highlight w:val="white"/>
          <w:u w:val="single"/>
        </w:rPr>
        <w:t xml:space="preserve"> Commons Attribution - Pas d’</w:t>
      </w:r>
      <w:r w:rsidR="00CA62AD">
        <w:rPr>
          <w:rFonts w:ascii="Arial" w:eastAsia="Arial" w:hAnsi="Arial" w:cs="Arial"/>
          <w:color w:val="049CCF"/>
          <w:sz w:val="16"/>
          <w:szCs w:val="16"/>
          <w:highlight w:val="white"/>
          <w:u w:val="single"/>
        </w:rPr>
        <w:t>utilisation commerciale - Partage dans les mêmes c</w:t>
      </w:r>
      <w:r>
        <w:rPr>
          <w:rFonts w:ascii="Arial" w:eastAsia="Arial" w:hAnsi="Arial" w:cs="Arial"/>
          <w:color w:val="049CCF"/>
          <w:sz w:val="16"/>
          <w:szCs w:val="16"/>
          <w:highlight w:val="white"/>
          <w:u w:val="single"/>
        </w:rPr>
        <w:t>onditions 4.0 International</w:t>
      </w:r>
    </w:hyperlink>
    <w:r w:rsidR="00CA62AD">
      <w:rPr>
        <w:rFonts w:ascii="Arial" w:eastAsia="Arial" w:hAnsi="Arial" w:cs="Arial"/>
        <w:color w:val="049CCF"/>
        <w:sz w:val="16"/>
        <w:szCs w:val="16"/>
        <w:highlight w:val="white"/>
        <w:u w:val="single"/>
      </w:rPr>
      <w:t>es</w:t>
    </w:r>
    <w:r>
      <w:rPr>
        <w:rFonts w:ascii="Arial" w:eastAsia="Arial" w:hAnsi="Arial" w:cs="Arial"/>
        <w:color w:val="464646"/>
        <w:sz w:val="16"/>
        <w:szCs w:val="16"/>
        <w:highlight w:val="white"/>
      </w:rPr>
      <w:t xml:space="preserve">. Les autorisations au-delà du champ de cette licence peuvent être obtenues à </w:t>
    </w:r>
    <w:hyperlink r:id="rId3">
      <w:proofErr w:type="spellStart"/>
      <w:r>
        <w:rPr>
          <w:rFonts w:ascii="Arial" w:eastAsia="Arial" w:hAnsi="Arial" w:cs="Arial"/>
          <w:color w:val="049CCF"/>
          <w:sz w:val="16"/>
          <w:szCs w:val="16"/>
          <w:highlight w:val="white"/>
          <w:u w:val="single"/>
        </w:rPr>
        <w:t>role.quebec</w:t>
      </w:r>
      <w:proofErr w:type="spellEnd"/>
    </w:hyperlink>
    <w:r>
      <w:rPr>
        <w:rFonts w:ascii="Arial" w:eastAsia="Arial" w:hAnsi="Arial" w:cs="Arial"/>
        <w:color w:val="464646"/>
        <w:sz w:val="16"/>
        <w:szCs w:val="16"/>
        <w:highlight w:val="whit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104" w:rsidRDefault="003F3104">
      <w:pPr>
        <w:spacing w:after="0" w:line="240" w:lineRule="auto"/>
      </w:pPr>
      <w:r>
        <w:separator/>
      </w:r>
    </w:p>
  </w:footnote>
  <w:footnote w:type="continuationSeparator" w:id="0">
    <w:p w:rsidR="003F3104" w:rsidRDefault="003F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551" w:rsidRDefault="00006989">
    <w:r>
      <w:rPr>
        <w:noProof/>
        <w:sz w:val="32"/>
        <w:szCs w:val="32"/>
      </w:rPr>
      <w:drawing>
        <wp:anchor distT="0" distB="0" distL="114300" distR="114300" simplePos="0" relativeHeight="251658240" behindDoc="0" locked="0" layoutInCell="1" allowOverlap="1">
          <wp:simplePos x="0" y="0"/>
          <wp:positionH relativeFrom="column">
            <wp:posOffset>-61893</wp:posOffset>
          </wp:positionH>
          <wp:positionV relativeFrom="paragraph">
            <wp:posOffset>373843</wp:posOffset>
          </wp:positionV>
          <wp:extent cx="1314807" cy="860306"/>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14807" cy="860306"/>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51"/>
    <w:rsid w:val="00006989"/>
    <w:rsid w:val="000B70DE"/>
    <w:rsid w:val="002A4551"/>
    <w:rsid w:val="003F3104"/>
    <w:rsid w:val="003F708A"/>
    <w:rsid w:val="008C3044"/>
    <w:rsid w:val="008E3B73"/>
    <w:rsid w:val="00AE2DA6"/>
    <w:rsid w:val="00C82643"/>
    <w:rsid w:val="00CA62AD"/>
    <w:rsid w:val="00D006B1"/>
    <w:rsid w:val="00E33F05"/>
    <w:rsid w:val="00EB1774"/>
    <w:rsid w:val="00FA46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359FE6"/>
  <w15:docId w15:val="{5013F717-5315-4D49-9CE1-0DD6CDE7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CA" w:eastAsia="fr-CA"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8E3B73"/>
    <w:pPr>
      <w:tabs>
        <w:tab w:val="center" w:pos="4703"/>
        <w:tab w:val="right" w:pos="9406"/>
      </w:tabs>
      <w:spacing w:after="0" w:line="240" w:lineRule="auto"/>
    </w:pPr>
  </w:style>
  <w:style w:type="character" w:customStyle="1" w:styleId="En-tteCar">
    <w:name w:val="En-tête Car"/>
    <w:basedOn w:val="Policepardfaut"/>
    <w:link w:val="En-tte"/>
    <w:uiPriority w:val="99"/>
    <w:rsid w:val="008E3B73"/>
  </w:style>
  <w:style w:type="paragraph" w:styleId="Pieddepage">
    <w:name w:val="footer"/>
    <w:basedOn w:val="Normal"/>
    <w:link w:val="PieddepageCar"/>
    <w:uiPriority w:val="99"/>
    <w:unhideWhenUsed/>
    <w:rsid w:val="008E3B7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E3B73"/>
  </w:style>
  <w:style w:type="paragraph" w:styleId="Textedebulles">
    <w:name w:val="Balloon Text"/>
    <w:basedOn w:val="Normal"/>
    <w:link w:val="TextedebullesCar"/>
    <w:uiPriority w:val="99"/>
    <w:semiHidden/>
    <w:unhideWhenUsed/>
    <w:rsid w:val="000B70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70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choose/role.quebec" TargetMode="External"/><Relationship Id="rId2" Type="http://schemas.openxmlformats.org/officeDocument/2006/relationships/hyperlink" Target="http://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163</Words>
  <Characters>901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Gobeil</dc:creator>
  <cp:lastModifiedBy>Julie Gobeil</cp:lastModifiedBy>
  <cp:revision>7</cp:revision>
  <cp:lastPrinted>2019-10-05T16:02:00Z</cp:lastPrinted>
  <dcterms:created xsi:type="dcterms:W3CDTF">2019-07-03T17:44:00Z</dcterms:created>
  <dcterms:modified xsi:type="dcterms:W3CDTF">2020-03-09T12:53:00Z</dcterms:modified>
</cp:coreProperties>
</file>